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11C60" w:rsidRDefault="00D11C60" w:rsidP="00D11C60">
      <w:pPr>
        <w:spacing w:after="120"/>
        <w:jc w:val="center"/>
        <w:rPr>
          <w:rFonts w:ascii="Cambria" w:hAnsi="Cambria" w:cstheme="minorHAnsi"/>
          <w:b/>
          <w:color w:val="1F3864" w:themeColor="accent5" w:themeShade="80"/>
          <w:sz w:val="28"/>
          <w:szCs w:val="20"/>
        </w:rPr>
      </w:pPr>
      <w:r w:rsidRPr="00D11C60">
        <w:rPr>
          <w:rFonts w:ascii="Cambria" w:hAnsi="Cambria" w:cstheme="minorHAnsi"/>
          <w:b/>
          <w:color w:val="1F3864" w:themeColor="accent5" w:themeShade="80"/>
          <w:sz w:val="28"/>
          <w:szCs w:val="20"/>
        </w:rPr>
        <w:t>Основни елементи на Законодателния акт за циф</w:t>
      </w:r>
      <w:bookmarkStart w:id="0" w:name="_GoBack"/>
      <w:bookmarkEnd w:id="0"/>
      <w:r w:rsidRPr="00D11C60">
        <w:rPr>
          <w:rFonts w:ascii="Cambria" w:hAnsi="Cambria" w:cstheme="minorHAnsi"/>
          <w:b/>
          <w:color w:val="1F3864" w:themeColor="accent5" w:themeShade="80"/>
          <w:sz w:val="28"/>
          <w:szCs w:val="20"/>
        </w:rPr>
        <w:t>ровите пазари</w:t>
      </w:r>
    </w:p>
    <w:p w:rsidR="00D11C60" w:rsidRPr="00D11C60" w:rsidRDefault="00D11C60" w:rsidP="00D11C60">
      <w:pPr>
        <w:spacing w:after="120"/>
        <w:jc w:val="center"/>
        <w:rPr>
          <w:rFonts w:ascii="Cambria" w:hAnsi="Cambria" w:cstheme="minorHAnsi"/>
          <w:color w:val="1F3864" w:themeColor="accent5" w:themeShade="80"/>
          <w:sz w:val="28"/>
          <w:szCs w:val="20"/>
        </w:rPr>
      </w:pPr>
    </w:p>
    <w:p w:rsidR="00D11C60" w:rsidRPr="008F3ADE" w:rsidRDefault="00D11C60" w:rsidP="00D11C60">
      <w:pPr>
        <w:shd w:val="clear" w:color="auto" w:fill="002060"/>
        <w:spacing w:after="120"/>
        <w:jc w:val="both"/>
        <w:rPr>
          <w:rFonts w:ascii="Tahoma" w:hAnsi="Tahoma" w:cs="Tahoma"/>
          <w:sz w:val="20"/>
          <w:szCs w:val="20"/>
        </w:rPr>
      </w:pPr>
      <w:proofErr w:type="spellStart"/>
      <w:r w:rsidRPr="008F3ADE">
        <w:rPr>
          <w:rFonts w:ascii="Tahoma" w:hAnsi="Tahoma" w:cs="Tahoma"/>
          <w:b/>
          <w:sz w:val="20"/>
          <w:szCs w:val="20"/>
          <w:lang w:val="en-GB"/>
        </w:rPr>
        <w:t>Предмет</w:t>
      </w:r>
      <w:proofErr w:type="spellEnd"/>
      <w:r w:rsidRPr="008F3ADE">
        <w:rPr>
          <w:rFonts w:ascii="Tahoma" w:hAnsi="Tahoma" w:cs="Tahoma"/>
          <w:b/>
          <w:sz w:val="20"/>
          <w:szCs w:val="20"/>
          <w:lang w:val="en-GB"/>
        </w:rPr>
        <w:t xml:space="preserve">, </w:t>
      </w:r>
      <w:proofErr w:type="spellStart"/>
      <w:r w:rsidRPr="008F3ADE">
        <w:rPr>
          <w:rFonts w:ascii="Tahoma" w:hAnsi="Tahoma" w:cs="Tahoma"/>
          <w:b/>
          <w:sz w:val="20"/>
          <w:szCs w:val="20"/>
          <w:lang w:val="en-GB"/>
        </w:rPr>
        <w:t>обхват</w:t>
      </w:r>
      <w:proofErr w:type="spellEnd"/>
      <w:r w:rsidRPr="008F3ADE">
        <w:rPr>
          <w:rFonts w:ascii="Tahoma" w:hAnsi="Tahoma" w:cs="Tahoma"/>
          <w:b/>
          <w:sz w:val="20"/>
          <w:szCs w:val="20"/>
          <w:lang w:val="en-GB"/>
        </w:rPr>
        <w:t xml:space="preserve"> и </w:t>
      </w:r>
      <w:proofErr w:type="spellStart"/>
      <w:r w:rsidRPr="008F3ADE">
        <w:rPr>
          <w:rFonts w:ascii="Tahoma" w:hAnsi="Tahoma" w:cs="Tahoma"/>
          <w:b/>
          <w:sz w:val="20"/>
          <w:szCs w:val="20"/>
          <w:lang w:val="en-GB"/>
        </w:rPr>
        <w:t>определения</w:t>
      </w:r>
      <w:proofErr w:type="spellEnd"/>
      <w:r w:rsidRPr="008F3ADE">
        <w:rPr>
          <w:rFonts w:ascii="Tahoma" w:hAnsi="Tahoma" w:cs="Tahoma"/>
          <w:b/>
          <w:sz w:val="20"/>
          <w:szCs w:val="20"/>
          <w:lang w:val="en-GB"/>
        </w:rPr>
        <w:t xml:space="preserve"> (</w:t>
      </w:r>
      <w:proofErr w:type="spellStart"/>
      <w:r w:rsidRPr="008F3ADE">
        <w:rPr>
          <w:rFonts w:ascii="Tahoma" w:hAnsi="Tahoma" w:cs="Tahoma"/>
          <w:b/>
          <w:sz w:val="20"/>
          <w:szCs w:val="20"/>
          <w:lang w:val="en-GB"/>
        </w:rPr>
        <w:t>глава</w:t>
      </w:r>
      <w:proofErr w:type="spellEnd"/>
      <w:r w:rsidRPr="008F3ADE">
        <w:rPr>
          <w:rFonts w:ascii="Tahoma" w:hAnsi="Tahoma" w:cs="Tahoma"/>
          <w:b/>
          <w:sz w:val="20"/>
          <w:szCs w:val="20"/>
          <w:lang w:val="en-GB"/>
        </w:rPr>
        <w:t xml:space="preserve"> I):</w:t>
      </w:r>
    </w:p>
    <w:p w:rsidR="00D11C60" w:rsidRPr="008F3ADE" w:rsidRDefault="00D11C60" w:rsidP="00D11C60">
      <w:pPr>
        <w:spacing w:after="120"/>
        <w:jc w:val="both"/>
        <w:rPr>
          <w:rFonts w:ascii="Tahoma" w:hAnsi="Tahoma" w:cs="Tahoma"/>
          <w:sz w:val="20"/>
          <w:szCs w:val="20"/>
        </w:rPr>
      </w:pPr>
      <w:r w:rsidRPr="008F3ADE">
        <w:rPr>
          <w:rFonts w:ascii="Tahoma" w:hAnsi="Tahoma" w:cs="Tahoma"/>
          <w:b/>
          <w:sz w:val="20"/>
          <w:szCs w:val="20"/>
          <w:u w:val="single"/>
        </w:rPr>
        <w:t>Член 1:</w:t>
      </w:r>
      <w:r w:rsidRPr="008F3ADE">
        <w:rPr>
          <w:rFonts w:ascii="Tahoma" w:hAnsi="Tahoma" w:cs="Tahoma"/>
          <w:sz w:val="20"/>
          <w:szCs w:val="20"/>
        </w:rPr>
        <w:t xml:space="preserve"> предложението има за цел да хармонизира правилата, за да осигури справедливи пазари в цифровия сектор, където присъстват пазачите на цифрови услуги. Той се прилага екстериториално и ограничава държавите-членки да приемат допълнителни закони, налагащи ограничения на пазачите на информационния вход по подобни причини. </w:t>
      </w:r>
    </w:p>
    <w:p w:rsidR="00D11C60" w:rsidRPr="008F3ADE" w:rsidRDefault="00D11C60" w:rsidP="00D11C60">
      <w:pPr>
        <w:shd w:val="clear" w:color="auto" w:fill="002060"/>
        <w:spacing w:after="120"/>
        <w:jc w:val="both"/>
        <w:rPr>
          <w:rFonts w:ascii="Tahoma" w:hAnsi="Tahoma" w:cs="Tahoma"/>
          <w:sz w:val="20"/>
          <w:szCs w:val="20"/>
        </w:rPr>
      </w:pPr>
      <w:r w:rsidRPr="008F3ADE">
        <w:rPr>
          <w:rFonts w:ascii="Tahoma" w:hAnsi="Tahoma" w:cs="Tahoma"/>
          <w:b/>
          <w:sz w:val="20"/>
          <w:szCs w:val="20"/>
        </w:rPr>
        <w:t>Пазачи на информационния вход (Глава II):</w:t>
      </w:r>
    </w:p>
    <w:p w:rsidR="00D11C60" w:rsidRPr="008F3ADE" w:rsidRDefault="00D11C60" w:rsidP="00D11C60">
      <w:pPr>
        <w:spacing w:after="120"/>
        <w:jc w:val="both"/>
        <w:rPr>
          <w:rFonts w:ascii="Tahoma" w:hAnsi="Tahoma" w:cs="Tahoma"/>
          <w:sz w:val="20"/>
          <w:szCs w:val="20"/>
        </w:rPr>
      </w:pPr>
      <w:r w:rsidRPr="008F3ADE">
        <w:rPr>
          <w:rFonts w:ascii="Tahoma" w:hAnsi="Tahoma" w:cs="Tahoma"/>
          <w:b/>
          <w:sz w:val="20"/>
          <w:szCs w:val="20"/>
          <w:u w:val="single"/>
        </w:rPr>
        <w:t>Член 3:</w:t>
      </w:r>
      <w:r w:rsidRPr="008F3ADE">
        <w:rPr>
          <w:rFonts w:ascii="Tahoma" w:hAnsi="Tahoma" w:cs="Tahoma"/>
          <w:sz w:val="20"/>
          <w:szCs w:val="20"/>
        </w:rPr>
        <w:t xml:space="preserve"> пазачът е доставчик на платформени услуги, който:</w:t>
      </w:r>
    </w:p>
    <w:p w:rsidR="00D11C60" w:rsidRPr="008F3ADE" w:rsidRDefault="00D11C60" w:rsidP="00D11C60">
      <w:pPr>
        <w:pStyle w:val="ListParagraph"/>
        <w:numPr>
          <w:ilvl w:val="0"/>
          <w:numId w:val="2"/>
        </w:numPr>
        <w:spacing w:before="0" w:beforeAutospacing="0" w:after="120" w:afterAutospacing="0"/>
        <w:ind w:hanging="336"/>
        <w:jc w:val="both"/>
        <w:rPr>
          <w:rFonts w:ascii="Tahoma" w:hAnsi="Tahoma" w:cs="Tahoma"/>
          <w:sz w:val="20"/>
          <w:szCs w:val="20"/>
        </w:rPr>
      </w:pPr>
      <w:r w:rsidRPr="008F3ADE">
        <w:rPr>
          <w:rFonts w:ascii="Tahoma" w:hAnsi="Tahoma" w:cs="Tahoma"/>
          <w:sz w:val="20"/>
          <w:szCs w:val="20"/>
        </w:rPr>
        <w:t>има значително въздействие върху единния пазар (= годишен оборот на ЕИП, равен на или над 6,5 милиарда евро през последните 3 финансови години или когато средната пазарна капитализация или еквивалентна справедлива пазарна стойност на предприятието, към което принадлежи, възлиза на най-малко 65 милиарда евро през последната финансова година, предоставяйки основна част на поне 3 държави-членки);</w:t>
      </w:r>
    </w:p>
    <w:p w:rsidR="00D11C60" w:rsidRPr="008F3ADE" w:rsidRDefault="00D11C60" w:rsidP="00D11C60">
      <w:pPr>
        <w:pStyle w:val="ListParagraph"/>
        <w:numPr>
          <w:ilvl w:val="0"/>
          <w:numId w:val="2"/>
        </w:numPr>
        <w:spacing w:before="0" w:beforeAutospacing="0" w:after="120" w:afterAutospacing="0"/>
        <w:ind w:hanging="336"/>
        <w:jc w:val="both"/>
        <w:rPr>
          <w:rFonts w:ascii="Tahoma" w:hAnsi="Tahoma" w:cs="Tahoma"/>
          <w:sz w:val="20"/>
          <w:szCs w:val="20"/>
        </w:rPr>
      </w:pPr>
      <w:r w:rsidRPr="008F3ADE">
        <w:rPr>
          <w:rFonts w:ascii="Tahoma" w:hAnsi="Tahoma" w:cs="Tahoma"/>
          <w:sz w:val="20"/>
          <w:szCs w:val="20"/>
        </w:rPr>
        <w:t>функционира като основна платформа за бизнес потребители за достигане до крайните потребители (= над 45 милиона активни крайни потребители месечно в ЕС и над 10 000 годишно активни бизнес потребители в ЕС през последната финансова година);</w:t>
      </w:r>
    </w:p>
    <w:p w:rsidR="00D11C60" w:rsidRPr="008F3ADE" w:rsidRDefault="00D11C60" w:rsidP="00D11C60">
      <w:pPr>
        <w:pStyle w:val="ListParagraph"/>
        <w:numPr>
          <w:ilvl w:val="0"/>
          <w:numId w:val="2"/>
        </w:numPr>
        <w:spacing w:before="0" w:beforeAutospacing="0" w:after="120" w:afterAutospacing="0"/>
        <w:ind w:hanging="336"/>
        <w:jc w:val="both"/>
        <w:rPr>
          <w:rFonts w:ascii="Tahoma" w:hAnsi="Tahoma" w:cs="Tahoma"/>
          <w:sz w:val="20"/>
          <w:szCs w:val="20"/>
        </w:rPr>
      </w:pPr>
      <w:r w:rsidRPr="008F3ADE">
        <w:rPr>
          <w:rFonts w:ascii="Tahoma" w:hAnsi="Tahoma" w:cs="Tahoma"/>
          <w:sz w:val="20"/>
          <w:szCs w:val="20"/>
        </w:rPr>
        <w:t>се ползва с утвърдена позиция или в предвидимо близко бъдеще (= ако се счита за основна платформа, която служи като важен портал за последните 3 финансови години).</w:t>
      </w:r>
    </w:p>
    <w:p w:rsidR="00D11C60" w:rsidRPr="008F3ADE" w:rsidRDefault="00D11C60" w:rsidP="00D11C60">
      <w:pPr>
        <w:spacing w:after="120"/>
        <w:jc w:val="both"/>
        <w:rPr>
          <w:rFonts w:ascii="Tahoma" w:hAnsi="Tahoma" w:cs="Tahoma"/>
          <w:sz w:val="20"/>
          <w:szCs w:val="20"/>
        </w:rPr>
      </w:pPr>
      <w:r w:rsidRPr="008F3ADE">
        <w:rPr>
          <w:rFonts w:ascii="Tahoma" w:hAnsi="Tahoma" w:cs="Tahoma"/>
          <w:sz w:val="20"/>
          <w:szCs w:val="20"/>
        </w:rPr>
        <w:t>Комисията ще бъде оправомощена да приема делегирани актове за спесифициране на методология за определяне дали тези прагове са спазени и при необходимост да се приспособят към пазарните / технологичните реалности (член 3 (5)).</w:t>
      </w:r>
    </w:p>
    <w:p w:rsidR="00D11C60" w:rsidRPr="008F3ADE" w:rsidRDefault="00D11C60" w:rsidP="00D11C60">
      <w:pPr>
        <w:spacing w:after="120"/>
        <w:jc w:val="both"/>
        <w:rPr>
          <w:rFonts w:ascii="Tahoma" w:hAnsi="Tahoma" w:cs="Tahoma"/>
          <w:sz w:val="20"/>
          <w:szCs w:val="20"/>
        </w:rPr>
      </w:pPr>
      <w:r w:rsidRPr="008F3ADE">
        <w:rPr>
          <w:rFonts w:ascii="Tahoma" w:hAnsi="Tahoma" w:cs="Tahoma"/>
          <w:sz w:val="20"/>
          <w:szCs w:val="20"/>
        </w:rPr>
        <w:t>Платформите трябва да уведомят Комисията в рамките на 3 месеца след осъзнаване на статута им на пазач на информационния вход. Липсата на уведомление не пречи на Комисията да ги определи за пазачи (член 3, параграф 3).</w:t>
      </w:r>
    </w:p>
    <w:p w:rsidR="00D11C60" w:rsidRPr="008F3ADE" w:rsidRDefault="00D11C60" w:rsidP="00D11C60">
      <w:pPr>
        <w:spacing w:after="120"/>
        <w:jc w:val="both"/>
        <w:rPr>
          <w:rFonts w:ascii="Tahoma" w:hAnsi="Tahoma" w:cs="Tahoma"/>
          <w:sz w:val="20"/>
          <w:szCs w:val="20"/>
        </w:rPr>
      </w:pPr>
      <w:r w:rsidRPr="008F3ADE">
        <w:rPr>
          <w:rFonts w:ascii="Tahoma" w:hAnsi="Tahoma" w:cs="Tahoma"/>
          <w:sz w:val="20"/>
          <w:szCs w:val="20"/>
        </w:rPr>
        <w:t>Комисията определя статут на пазач в рамките на 60 дни след получаване на пълна информация, освен ако платформата не представи достатъчно аргументи защо те не отговарят на ролята на пазач. Комисията взема предвид различни елементи при оценката. Комисията може да определи всяка платформа за пазач, дори ако тя не отговаря на всички критерии в член 3, параграф 2, стига да спазва член 3, параграф 1 (член 3, параграф 6).</w:t>
      </w:r>
    </w:p>
    <w:p w:rsidR="00D11C60" w:rsidRPr="008F3ADE" w:rsidRDefault="00D11C60" w:rsidP="00D11C60">
      <w:pPr>
        <w:spacing w:after="120"/>
        <w:jc w:val="both"/>
        <w:rPr>
          <w:rFonts w:ascii="Tahoma" w:hAnsi="Tahoma" w:cs="Tahoma"/>
          <w:sz w:val="20"/>
          <w:szCs w:val="20"/>
        </w:rPr>
      </w:pPr>
      <w:r w:rsidRPr="008F3ADE">
        <w:rPr>
          <w:rFonts w:ascii="Tahoma" w:hAnsi="Tahoma" w:cs="Tahoma"/>
          <w:sz w:val="20"/>
          <w:szCs w:val="20"/>
        </w:rPr>
        <w:t>Предприятието на платформата на пазача се идентифицира от Комисията и следващите основни платформи на това предприятие се изброяват, които поотделно служат като други пазачи (член 3, параграф 7).</w:t>
      </w:r>
    </w:p>
    <w:p w:rsidR="00D11C60" w:rsidRPr="008F3ADE" w:rsidRDefault="00D11C60" w:rsidP="00D11C60">
      <w:pPr>
        <w:spacing w:after="120"/>
        <w:jc w:val="both"/>
        <w:rPr>
          <w:rFonts w:ascii="Tahoma" w:hAnsi="Tahoma" w:cs="Tahoma"/>
          <w:sz w:val="20"/>
          <w:szCs w:val="20"/>
        </w:rPr>
      </w:pPr>
      <w:r w:rsidRPr="008F3ADE">
        <w:rPr>
          <w:rFonts w:ascii="Tahoma" w:hAnsi="Tahoma" w:cs="Tahoma"/>
          <w:sz w:val="20"/>
          <w:szCs w:val="20"/>
        </w:rPr>
        <w:t>Пазачите трябва да приведат своята дейност в съответствие с изискванията в рамките на 6 месеца след определянето им за пазачи (член 3, параграф 8).</w:t>
      </w:r>
    </w:p>
    <w:p w:rsidR="00D11C60" w:rsidRPr="008F3ADE" w:rsidRDefault="00D11C60" w:rsidP="00D11C60">
      <w:pPr>
        <w:shd w:val="clear" w:color="auto" w:fill="002060"/>
        <w:spacing w:after="120"/>
        <w:jc w:val="both"/>
        <w:rPr>
          <w:rFonts w:ascii="Tahoma" w:hAnsi="Tahoma" w:cs="Tahoma"/>
          <w:sz w:val="20"/>
          <w:szCs w:val="20"/>
        </w:rPr>
      </w:pPr>
      <w:r w:rsidRPr="008F3ADE">
        <w:rPr>
          <w:rFonts w:ascii="Tahoma" w:hAnsi="Tahoma" w:cs="Tahoma"/>
          <w:b/>
          <w:sz w:val="20"/>
          <w:szCs w:val="20"/>
        </w:rPr>
        <w:t>Практики на пазачите, които ограничават оспорването или са несправедливи (Глава III):</w:t>
      </w:r>
    </w:p>
    <w:p w:rsidR="00D11C60" w:rsidRPr="008F3ADE" w:rsidRDefault="00D11C60" w:rsidP="00D11C60">
      <w:pPr>
        <w:spacing w:after="120"/>
        <w:jc w:val="both"/>
        <w:rPr>
          <w:rFonts w:ascii="Tahoma" w:hAnsi="Tahoma" w:cs="Tahoma"/>
          <w:sz w:val="20"/>
          <w:szCs w:val="20"/>
        </w:rPr>
      </w:pPr>
      <w:r w:rsidRPr="008F3ADE">
        <w:rPr>
          <w:rFonts w:ascii="Tahoma" w:hAnsi="Tahoma" w:cs="Tahoma"/>
          <w:b/>
          <w:sz w:val="20"/>
          <w:szCs w:val="20"/>
          <w:u w:val="single"/>
        </w:rPr>
        <w:t>Член 5:</w:t>
      </w:r>
      <w:r w:rsidRPr="008F3ADE">
        <w:rPr>
          <w:rFonts w:ascii="Tahoma" w:hAnsi="Tahoma" w:cs="Tahoma"/>
          <w:sz w:val="20"/>
          <w:szCs w:val="20"/>
        </w:rPr>
        <w:t xml:space="preserve"> пазачите на информационния вход са длъжни:</w:t>
      </w:r>
    </w:p>
    <w:p w:rsidR="00D11C60" w:rsidRPr="008F3ADE" w:rsidRDefault="00D11C60" w:rsidP="00D11C60">
      <w:pPr>
        <w:pStyle w:val="ListParagraph"/>
        <w:numPr>
          <w:ilvl w:val="0"/>
          <w:numId w:val="1"/>
        </w:numPr>
        <w:spacing w:before="0" w:beforeAutospacing="0" w:after="120" w:afterAutospacing="0"/>
        <w:ind w:hanging="336"/>
        <w:jc w:val="both"/>
        <w:rPr>
          <w:rFonts w:ascii="Tahoma" w:hAnsi="Tahoma" w:cs="Tahoma"/>
          <w:sz w:val="20"/>
          <w:szCs w:val="20"/>
        </w:rPr>
      </w:pPr>
      <w:r w:rsidRPr="008F3ADE">
        <w:rPr>
          <w:rFonts w:ascii="Tahoma" w:hAnsi="Tahoma" w:cs="Tahoma"/>
          <w:sz w:val="20"/>
          <w:szCs w:val="20"/>
        </w:rPr>
        <w:t>да предложат отказ от комбиниране на личните данни от различни услуги и автоматично вписване на потребителите, освен ако не е дадено съгласие;</w:t>
      </w:r>
    </w:p>
    <w:p w:rsidR="00D11C60" w:rsidRPr="008F3ADE" w:rsidRDefault="00D11C60" w:rsidP="00D11C60">
      <w:pPr>
        <w:pStyle w:val="ListParagraph"/>
        <w:numPr>
          <w:ilvl w:val="0"/>
          <w:numId w:val="1"/>
        </w:numPr>
        <w:spacing w:before="0" w:beforeAutospacing="0" w:after="120" w:afterAutospacing="0"/>
        <w:ind w:hanging="336"/>
        <w:jc w:val="both"/>
        <w:rPr>
          <w:rFonts w:ascii="Tahoma" w:hAnsi="Tahoma" w:cs="Tahoma"/>
          <w:sz w:val="20"/>
          <w:szCs w:val="20"/>
        </w:rPr>
      </w:pPr>
      <w:r w:rsidRPr="008F3ADE">
        <w:rPr>
          <w:rFonts w:ascii="Tahoma" w:hAnsi="Tahoma" w:cs="Tahoma"/>
          <w:sz w:val="20"/>
          <w:szCs w:val="20"/>
        </w:rPr>
        <w:t>да позволява на бизнес потребителите да предлагат едни и същи продукти при различни цени / условия от услугите на пазачите;</w:t>
      </w:r>
    </w:p>
    <w:p w:rsidR="00D11C60" w:rsidRPr="008F3ADE" w:rsidRDefault="00D11C60" w:rsidP="00D11C60">
      <w:pPr>
        <w:pStyle w:val="ListParagraph"/>
        <w:numPr>
          <w:ilvl w:val="0"/>
          <w:numId w:val="1"/>
        </w:numPr>
        <w:spacing w:before="0" w:beforeAutospacing="0" w:after="120" w:afterAutospacing="0"/>
        <w:ind w:hanging="336"/>
        <w:jc w:val="both"/>
        <w:rPr>
          <w:rFonts w:ascii="Tahoma" w:hAnsi="Tahoma" w:cs="Tahoma"/>
          <w:sz w:val="20"/>
          <w:szCs w:val="20"/>
        </w:rPr>
      </w:pPr>
      <w:r w:rsidRPr="008F3ADE">
        <w:rPr>
          <w:rFonts w:ascii="Tahoma" w:hAnsi="Tahoma" w:cs="Tahoma"/>
          <w:sz w:val="20"/>
          <w:szCs w:val="20"/>
        </w:rPr>
        <w:t>да позволява на бизнес потребителите да популяризират оферти за крайни потребители чрез платформи и да сключват договори;</w:t>
      </w:r>
    </w:p>
    <w:p w:rsidR="00D11C60" w:rsidRPr="008F3ADE" w:rsidRDefault="00D11C60" w:rsidP="00D11C60">
      <w:pPr>
        <w:pStyle w:val="ListParagraph"/>
        <w:numPr>
          <w:ilvl w:val="0"/>
          <w:numId w:val="1"/>
        </w:numPr>
        <w:spacing w:before="0" w:beforeAutospacing="0" w:after="120" w:afterAutospacing="0"/>
        <w:ind w:hanging="336"/>
        <w:jc w:val="both"/>
        <w:rPr>
          <w:rFonts w:ascii="Tahoma" w:hAnsi="Tahoma" w:cs="Tahoma"/>
          <w:sz w:val="20"/>
          <w:szCs w:val="20"/>
        </w:rPr>
      </w:pPr>
      <w:r w:rsidRPr="008F3ADE">
        <w:rPr>
          <w:rFonts w:ascii="Tahoma" w:hAnsi="Tahoma" w:cs="Tahoma"/>
          <w:sz w:val="20"/>
          <w:szCs w:val="20"/>
        </w:rPr>
        <w:t>да се въздържат от предотвратяване или ограничаване на бизнес потребителите да повдигат въпроси пред властите относно практиките на пазачите;</w:t>
      </w:r>
    </w:p>
    <w:p w:rsidR="00D11C60" w:rsidRPr="008F3ADE" w:rsidRDefault="00D11C60" w:rsidP="00D11C60">
      <w:pPr>
        <w:pStyle w:val="ListParagraph"/>
        <w:numPr>
          <w:ilvl w:val="0"/>
          <w:numId w:val="1"/>
        </w:numPr>
        <w:spacing w:before="0" w:beforeAutospacing="0" w:after="120" w:afterAutospacing="0"/>
        <w:ind w:hanging="336"/>
        <w:jc w:val="both"/>
        <w:rPr>
          <w:rFonts w:ascii="Tahoma" w:hAnsi="Tahoma" w:cs="Tahoma"/>
          <w:sz w:val="20"/>
          <w:szCs w:val="20"/>
        </w:rPr>
      </w:pPr>
      <w:r w:rsidRPr="008F3ADE">
        <w:rPr>
          <w:rFonts w:ascii="Tahoma" w:hAnsi="Tahoma" w:cs="Tahoma"/>
          <w:sz w:val="20"/>
          <w:szCs w:val="20"/>
        </w:rPr>
        <w:t>да се въздържат да изискват от бизнес потребителите да използват услугата за идентификация на пазача;</w:t>
      </w:r>
    </w:p>
    <w:p w:rsidR="00D11C60" w:rsidRPr="008F3ADE" w:rsidRDefault="00D11C60" w:rsidP="00D11C60">
      <w:pPr>
        <w:pStyle w:val="ListParagraph"/>
        <w:numPr>
          <w:ilvl w:val="0"/>
          <w:numId w:val="1"/>
        </w:numPr>
        <w:spacing w:before="0" w:beforeAutospacing="0" w:after="120" w:afterAutospacing="0"/>
        <w:ind w:hanging="336"/>
        <w:jc w:val="both"/>
        <w:rPr>
          <w:rFonts w:ascii="Tahoma" w:hAnsi="Tahoma" w:cs="Tahoma"/>
          <w:sz w:val="20"/>
          <w:szCs w:val="20"/>
        </w:rPr>
      </w:pPr>
      <w:r w:rsidRPr="008F3ADE">
        <w:rPr>
          <w:rFonts w:ascii="Tahoma" w:hAnsi="Tahoma" w:cs="Tahoma"/>
          <w:sz w:val="20"/>
          <w:szCs w:val="20"/>
        </w:rPr>
        <w:t>да се въздържат да изискват от потребителите да се абонират или да се регистрират за друга основна услуга на платформата;</w:t>
      </w:r>
    </w:p>
    <w:p w:rsidR="00D11C60" w:rsidRPr="008F3ADE" w:rsidRDefault="00D11C60" w:rsidP="00D11C60">
      <w:pPr>
        <w:pStyle w:val="ListParagraph"/>
        <w:numPr>
          <w:ilvl w:val="0"/>
          <w:numId w:val="1"/>
        </w:numPr>
        <w:spacing w:before="0" w:beforeAutospacing="0" w:after="120" w:afterAutospacing="0"/>
        <w:ind w:hanging="336"/>
        <w:jc w:val="both"/>
        <w:rPr>
          <w:rFonts w:ascii="Tahoma" w:hAnsi="Tahoma" w:cs="Tahoma"/>
          <w:sz w:val="20"/>
          <w:szCs w:val="20"/>
        </w:rPr>
      </w:pPr>
      <w:r w:rsidRPr="008F3ADE">
        <w:rPr>
          <w:rFonts w:ascii="Tahoma" w:hAnsi="Tahoma" w:cs="Tahoma"/>
          <w:sz w:val="20"/>
          <w:szCs w:val="20"/>
        </w:rPr>
        <w:lastRenderedPageBreak/>
        <w:t>да осигурят прозрачност на рекламодателите и издателите за цената, заплатена за публикувана реклама.</w:t>
      </w:r>
    </w:p>
    <w:p w:rsidR="00D11C60" w:rsidRPr="008F3ADE" w:rsidRDefault="00D11C60" w:rsidP="00D11C60">
      <w:pPr>
        <w:spacing w:after="120"/>
        <w:jc w:val="both"/>
        <w:rPr>
          <w:rFonts w:ascii="Tahoma" w:hAnsi="Tahoma" w:cs="Tahoma"/>
          <w:sz w:val="20"/>
          <w:szCs w:val="20"/>
        </w:rPr>
      </w:pPr>
      <w:r w:rsidRPr="008F3ADE">
        <w:rPr>
          <w:rFonts w:ascii="Tahoma" w:hAnsi="Tahoma" w:cs="Tahoma"/>
          <w:b/>
          <w:sz w:val="20"/>
          <w:szCs w:val="20"/>
          <w:u w:val="single"/>
        </w:rPr>
        <w:t>Член 6:</w:t>
      </w:r>
      <w:r w:rsidRPr="008F3ADE">
        <w:rPr>
          <w:rFonts w:ascii="Tahoma" w:hAnsi="Tahoma" w:cs="Tahoma"/>
          <w:sz w:val="20"/>
          <w:szCs w:val="20"/>
        </w:rPr>
        <w:t xml:space="preserve"> Определените пазачи на информационния вход трябва:</w:t>
      </w:r>
    </w:p>
    <w:p w:rsidR="00D11C60" w:rsidRPr="008F3ADE" w:rsidRDefault="00D11C60" w:rsidP="00D11C60">
      <w:pPr>
        <w:pStyle w:val="ListParagraph"/>
        <w:numPr>
          <w:ilvl w:val="0"/>
          <w:numId w:val="1"/>
        </w:numPr>
        <w:spacing w:before="0" w:beforeAutospacing="0" w:after="120" w:afterAutospacing="0"/>
        <w:ind w:hanging="336"/>
        <w:jc w:val="both"/>
        <w:rPr>
          <w:rFonts w:ascii="Tahoma" w:hAnsi="Tahoma" w:cs="Tahoma"/>
          <w:sz w:val="20"/>
          <w:szCs w:val="20"/>
        </w:rPr>
      </w:pPr>
      <w:r w:rsidRPr="008F3ADE">
        <w:rPr>
          <w:rFonts w:ascii="Tahoma" w:hAnsi="Tahoma" w:cs="Tahoma"/>
          <w:sz w:val="20"/>
          <w:szCs w:val="20"/>
        </w:rPr>
        <w:t>да не използват данни, събрани чрез услугата на платформата чрез дейности на бизнес потребители, за да предлагат услуги в конкуренция с тях;</w:t>
      </w:r>
    </w:p>
    <w:p w:rsidR="00D11C60" w:rsidRPr="008F3ADE" w:rsidRDefault="00D11C60" w:rsidP="00D11C60">
      <w:pPr>
        <w:pStyle w:val="ListParagraph"/>
        <w:numPr>
          <w:ilvl w:val="0"/>
          <w:numId w:val="1"/>
        </w:numPr>
        <w:spacing w:before="0" w:beforeAutospacing="0" w:after="120" w:afterAutospacing="0"/>
        <w:ind w:hanging="336"/>
        <w:jc w:val="both"/>
        <w:rPr>
          <w:rFonts w:ascii="Tahoma" w:hAnsi="Tahoma" w:cs="Tahoma"/>
          <w:sz w:val="20"/>
          <w:szCs w:val="20"/>
        </w:rPr>
      </w:pPr>
      <w:r w:rsidRPr="008F3ADE">
        <w:rPr>
          <w:rFonts w:ascii="Tahoma" w:hAnsi="Tahoma" w:cs="Tahoma"/>
          <w:sz w:val="20"/>
          <w:szCs w:val="20"/>
        </w:rPr>
        <w:t>да позволи на крайните потребители да деинсталират предварително инсталиран софтуер на платформата, без да се засягат онези приложения, които са от съществено значение за функционирането на операционната система;</w:t>
      </w:r>
    </w:p>
    <w:p w:rsidR="00D11C60" w:rsidRPr="008F3ADE" w:rsidRDefault="00D11C60" w:rsidP="00D11C60">
      <w:pPr>
        <w:pStyle w:val="ListParagraph"/>
        <w:numPr>
          <w:ilvl w:val="0"/>
          <w:numId w:val="1"/>
        </w:numPr>
        <w:spacing w:before="0" w:beforeAutospacing="0" w:after="120" w:afterAutospacing="0"/>
        <w:ind w:hanging="336"/>
        <w:jc w:val="both"/>
        <w:rPr>
          <w:rFonts w:ascii="Tahoma" w:hAnsi="Tahoma" w:cs="Tahoma"/>
          <w:sz w:val="20"/>
          <w:szCs w:val="20"/>
        </w:rPr>
      </w:pPr>
      <w:r w:rsidRPr="008F3ADE">
        <w:rPr>
          <w:rFonts w:ascii="Tahoma" w:hAnsi="Tahoma" w:cs="Tahoma"/>
          <w:sz w:val="20"/>
          <w:szCs w:val="20"/>
        </w:rPr>
        <w:t>да позволят инсталирането на софтуер на трети страни в оперативно съвместима форма, без да възпрепятстват пазача на информационния вход да предприема пропорционални мерки, за да гарантира, че целостта на хардуера не е застрашена;</w:t>
      </w:r>
    </w:p>
    <w:p w:rsidR="00D11C60" w:rsidRPr="008F3ADE" w:rsidRDefault="00D11C60" w:rsidP="00D11C60">
      <w:pPr>
        <w:pStyle w:val="ListParagraph"/>
        <w:numPr>
          <w:ilvl w:val="0"/>
          <w:numId w:val="1"/>
        </w:numPr>
        <w:spacing w:before="0" w:beforeAutospacing="0" w:after="120" w:afterAutospacing="0"/>
        <w:ind w:hanging="336"/>
        <w:jc w:val="both"/>
        <w:rPr>
          <w:rFonts w:ascii="Tahoma" w:hAnsi="Tahoma" w:cs="Tahoma"/>
          <w:sz w:val="20"/>
          <w:szCs w:val="20"/>
        </w:rPr>
      </w:pPr>
      <w:r w:rsidRPr="008F3ADE">
        <w:rPr>
          <w:rFonts w:ascii="Tahoma" w:hAnsi="Tahoma" w:cs="Tahoma"/>
          <w:sz w:val="20"/>
          <w:szCs w:val="20"/>
        </w:rPr>
        <w:t>да не класират по-благоприятно собствените си услуги или продукти;</w:t>
      </w:r>
    </w:p>
    <w:p w:rsidR="00D11C60" w:rsidRPr="008F3ADE" w:rsidRDefault="00D11C60" w:rsidP="00D11C60">
      <w:pPr>
        <w:pStyle w:val="ListParagraph"/>
        <w:numPr>
          <w:ilvl w:val="0"/>
          <w:numId w:val="1"/>
        </w:numPr>
        <w:spacing w:before="0" w:beforeAutospacing="0" w:after="120" w:afterAutospacing="0"/>
        <w:ind w:hanging="336"/>
        <w:jc w:val="both"/>
        <w:rPr>
          <w:rFonts w:ascii="Tahoma" w:hAnsi="Tahoma" w:cs="Tahoma"/>
          <w:sz w:val="20"/>
          <w:szCs w:val="20"/>
        </w:rPr>
      </w:pPr>
      <w:r w:rsidRPr="008F3ADE">
        <w:rPr>
          <w:rFonts w:ascii="Tahoma" w:hAnsi="Tahoma" w:cs="Tahoma"/>
          <w:sz w:val="20"/>
          <w:szCs w:val="20"/>
        </w:rPr>
        <w:t>да позволят на крайните потребители да превключват между различни софтуерни приложения, като не поставят технически ограничения, които да пречат на това;</w:t>
      </w:r>
    </w:p>
    <w:p w:rsidR="00D11C60" w:rsidRPr="008F3ADE" w:rsidRDefault="00D11C60" w:rsidP="00D11C60">
      <w:pPr>
        <w:pStyle w:val="ListParagraph"/>
        <w:numPr>
          <w:ilvl w:val="0"/>
          <w:numId w:val="1"/>
        </w:numPr>
        <w:spacing w:before="0" w:beforeAutospacing="0" w:after="120" w:afterAutospacing="0"/>
        <w:ind w:hanging="336"/>
        <w:jc w:val="both"/>
        <w:rPr>
          <w:rFonts w:ascii="Tahoma" w:hAnsi="Tahoma" w:cs="Tahoma"/>
          <w:sz w:val="20"/>
          <w:szCs w:val="20"/>
        </w:rPr>
      </w:pPr>
      <w:r w:rsidRPr="008F3ADE">
        <w:rPr>
          <w:rFonts w:ascii="Tahoma" w:hAnsi="Tahoma" w:cs="Tahoma"/>
          <w:sz w:val="20"/>
          <w:szCs w:val="20"/>
        </w:rPr>
        <w:t>да позволяват достъп на допълнителни услуги на трети страни и оперативна съвместимост до същата операционна система, хардуер, софтуер, който е наличен или използван от пазача;</w:t>
      </w:r>
    </w:p>
    <w:p w:rsidR="00D11C60" w:rsidRPr="008F3ADE" w:rsidRDefault="00D11C60" w:rsidP="00D11C60">
      <w:pPr>
        <w:pStyle w:val="ListParagraph"/>
        <w:numPr>
          <w:ilvl w:val="0"/>
          <w:numId w:val="1"/>
        </w:numPr>
        <w:spacing w:before="0" w:beforeAutospacing="0" w:after="120" w:afterAutospacing="0"/>
        <w:ind w:hanging="336"/>
        <w:jc w:val="both"/>
        <w:rPr>
          <w:rFonts w:ascii="Tahoma" w:hAnsi="Tahoma" w:cs="Tahoma"/>
          <w:sz w:val="20"/>
          <w:szCs w:val="20"/>
        </w:rPr>
      </w:pPr>
      <w:r w:rsidRPr="008F3ADE">
        <w:rPr>
          <w:rFonts w:ascii="Tahoma" w:hAnsi="Tahoma" w:cs="Tahoma"/>
          <w:sz w:val="20"/>
          <w:szCs w:val="20"/>
        </w:rPr>
        <w:t>да осигури безплатен достъп на рекламодателите и издателите до инструменти за измерване на ефективността на пазача на информационния вход и на информация, необходима за оценка на собствената проверка на рекламния инвентар;</w:t>
      </w:r>
    </w:p>
    <w:p w:rsidR="00D11C60" w:rsidRPr="008F3ADE" w:rsidRDefault="00D11C60" w:rsidP="00D11C60">
      <w:pPr>
        <w:pStyle w:val="ListParagraph"/>
        <w:numPr>
          <w:ilvl w:val="0"/>
          <w:numId w:val="1"/>
        </w:numPr>
        <w:spacing w:before="0" w:beforeAutospacing="0" w:after="120" w:afterAutospacing="0"/>
        <w:ind w:hanging="336"/>
        <w:jc w:val="both"/>
        <w:rPr>
          <w:rFonts w:ascii="Tahoma" w:hAnsi="Tahoma" w:cs="Tahoma"/>
          <w:sz w:val="20"/>
          <w:szCs w:val="20"/>
        </w:rPr>
      </w:pPr>
      <w:r w:rsidRPr="008F3ADE">
        <w:rPr>
          <w:rFonts w:ascii="Tahoma" w:hAnsi="Tahoma" w:cs="Tahoma"/>
          <w:sz w:val="20"/>
          <w:szCs w:val="20"/>
        </w:rPr>
        <w:t>да осигури преносимост на данните, при спазване на GDPR, когато е необходимо;</w:t>
      </w:r>
    </w:p>
    <w:p w:rsidR="00D11C60" w:rsidRPr="008F3ADE" w:rsidRDefault="00D11C60" w:rsidP="00D11C60">
      <w:pPr>
        <w:pStyle w:val="ListParagraph"/>
        <w:numPr>
          <w:ilvl w:val="0"/>
          <w:numId w:val="1"/>
        </w:numPr>
        <w:spacing w:before="0" w:beforeAutospacing="0" w:after="120" w:afterAutospacing="0"/>
        <w:ind w:hanging="336"/>
        <w:jc w:val="both"/>
        <w:rPr>
          <w:rFonts w:ascii="Tahoma" w:hAnsi="Tahoma" w:cs="Tahoma"/>
          <w:sz w:val="20"/>
          <w:szCs w:val="20"/>
        </w:rPr>
      </w:pPr>
      <w:r w:rsidRPr="008F3ADE">
        <w:rPr>
          <w:rFonts w:ascii="Tahoma" w:hAnsi="Tahoma" w:cs="Tahoma"/>
          <w:sz w:val="20"/>
          <w:szCs w:val="20"/>
        </w:rPr>
        <w:t>да  разреши безплатен достъп до данни, генерирани от самите бизнес потребители;</w:t>
      </w:r>
    </w:p>
    <w:p w:rsidR="00D11C60" w:rsidRPr="008F3ADE" w:rsidRDefault="00D11C60" w:rsidP="00D11C60">
      <w:pPr>
        <w:pStyle w:val="ListParagraph"/>
        <w:numPr>
          <w:ilvl w:val="0"/>
          <w:numId w:val="1"/>
        </w:numPr>
        <w:spacing w:before="0" w:beforeAutospacing="0" w:after="120" w:afterAutospacing="0"/>
        <w:ind w:hanging="336"/>
        <w:jc w:val="both"/>
        <w:rPr>
          <w:rFonts w:ascii="Tahoma" w:hAnsi="Tahoma" w:cs="Tahoma"/>
          <w:sz w:val="20"/>
          <w:szCs w:val="20"/>
        </w:rPr>
      </w:pPr>
      <w:r w:rsidRPr="008F3ADE">
        <w:rPr>
          <w:rFonts w:ascii="Tahoma" w:hAnsi="Tahoma" w:cs="Tahoma"/>
          <w:sz w:val="20"/>
          <w:szCs w:val="20"/>
        </w:rPr>
        <w:t>да разреши достъп на търсещите механизми на всяка трета страна при справедливи, разумни и недискриминационни условия, съответно заявката, кликването и преглеждането на данни, свързани с генерирана от търсенето информация (обект на анонимизация);</w:t>
      </w:r>
    </w:p>
    <w:p w:rsidR="00D11C60" w:rsidRPr="008F3ADE" w:rsidRDefault="00D11C60" w:rsidP="00D11C60">
      <w:pPr>
        <w:pStyle w:val="ListParagraph"/>
        <w:numPr>
          <w:ilvl w:val="0"/>
          <w:numId w:val="1"/>
        </w:numPr>
        <w:spacing w:before="0" w:beforeAutospacing="0" w:after="120" w:afterAutospacing="0"/>
        <w:ind w:hanging="336"/>
        <w:jc w:val="both"/>
        <w:rPr>
          <w:rFonts w:ascii="Tahoma" w:hAnsi="Tahoma" w:cs="Tahoma"/>
          <w:sz w:val="20"/>
          <w:szCs w:val="20"/>
        </w:rPr>
      </w:pPr>
      <w:r w:rsidRPr="008F3ADE">
        <w:rPr>
          <w:rFonts w:ascii="Tahoma" w:hAnsi="Tahoma" w:cs="Tahoma"/>
          <w:sz w:val="20"/>
          <w:szCs w:val="20"/>
        </w:rPr>
        <w:t>да разреши справедливи и недискриминационни условия за достъп на бизнес потребителя до неговия магазин за софтуерни приложения.</w:t>
      </w:r>
    </w:p>
    <w:p w:rsidR="00D11C60" w:rsidRPr="008F3ADE" w:rsidRDefault="00D11C60" w:rsidP="00D11C60">
      <w:pPr>
        <w:spacing w:after="120"/>
        <w:jc w:val="both"/>
        <w:rPr>
          <w:rFonts w:ascii="Tahoma" w:hAnsi="Tahoma" w:cs="Tahoma"/>
          <w:sz w:val="20"/>
          <w:szCs w:val="20"/>
        </w:rPr>
      </w:pPr>
      <w:r w:rsidRPr="008F3ADE">
        <w:rPr>
          <w:rFonts w:ascii="Tahoma" w:hAnsi="Tahoma" w:cs="Tahoma"/>
          <w:b/>
          <w:sz w:val="20"/>
          <w:szCs w:val="20"/>
          <w:u w:val="single"/>
        </w:rPr>
        <w:t>Член 7</w:t>
      </w:r>
      <w:r w:rsidRPr="008F3ADE">
        <w:rPr>
          <w:rFonts w:ascii="Tahoma" w:hAnsi="Tahoma" w:cs="Tahoma"/>
          <w:sz w:val="20"/>
          <w:szCs w:val="20"/>
          <w:u w:val="single"/>
        </w:rPr>
        <w:t>:</w:t>
      </w:r>
      <w:r w:rsidRPr="008F3ADE">
        <w:rPr>
          <w:rFonts w:ascii="Tahoma" w:hAnsi="Tahoma" w:cs="Tahoma"/>
          <w:sz w:val="20"/>
          <w:szCs w:val="20"/>
        </w:rPr>
        <w:t xml:space="preserve"> Когато Комисията установи, че правилата на член 6 не се спазват, може да започне разследване (член 7, параграф 2). Предварителните констатации се предоставят в рамките на 3 месеца и трябва да предложат мерки, които Комисията насърчава доставчика да предприеме, за да приведе дейността си в съответствие с изискванията (член 7, параграф 4). Пазачът на информационния вход може също да поиска откриване на производство, за да се определи дали мерките, които възнамерява да предприеме, са в съответствие с член 6 (член 7 (7)).</w:t>
      </w:r>
    </w:p>
    <w:p w:rsidR="00D11C60" w:rsidRPr="008F3ADE" w:rsidRDefault="00D11C60" w:rsidP="00D11C60">
      <w:pPr>
        <w:spacing w:after="120"/>
        <w:jc w:val="both"/>
        <w:rPr>
          <w:rFonts w:ascii="Tahoma" w:hAnsi="Tahoma" w:cs="Tahoma"/>
          <w:sz w:val="20"/>
          <w:szCs w:val="20"/>
        </w:rPr>
      </w:pPr>
      <w:r w:rsidRPr="008F3ADE">
        <w:rPr>
          <w:rFonts w:ascii="Tahoma" w:hAnsi="Tahoma" w:cs="Tahoma"/>
          <w:b/>
          <w:sz w:val="20"/>
          <w:szCs w:val="20"/>
          <w:u w:val="single"/>
        </w:rPr>
        <w:t>Член 8:</w:t>
      </w:r>
      <w:r w:rsidRPr="008F3ADE">
        <w:rPr>
          <w:rFonts w:ascii="Tahoma" w:hAnsi="Tahoma" w:cs="Tahoma"/>
          <w:sz w:val="20"/>
          <w:szCs w:val="20"/>
        </w:rPr>
        <w:t xml:space="preserve"> Пазачите могат да поискат от Комисията по изключение да прекрати изцяло или частично задълженията, възложени им в членове 5 и 6, ако могат да докажат чрез консултативната процедура по член 32, параграф 4, че спазването им би застрашило тяхната икономическа жизнеспособност в рамките на ЕС. Ако бъде предоставено от Комисията, спирането на задълженията трябва да стане в рамките на 3 месеца. Това решение се преразглежда ежегодно (член 8, параграф 2).</w:t>
      </w:r>
    </w:p>
    <w:p w:rsidR="00D11C60" w:rsidRPr="008F3ADE" w:rsidRDefault="00D11C60" w:rsidP="00D11C60">
      <w:pPr>
        <w:spacing w:after="120"/>
        <w:jc w:val="both"/>
        <w:rPr>
          <w:rFonts w:ascii="Tahoma" w:hAnsi="Tahoma" w:cs="Tahoma"/>
          <w:sz w:val="20"/>
          <w:szCs w:val="20"/>
        </w:rPr>
      </w:pPr>
      <w:r w:rsidRPr="008F3ADE">
        <w:rPr>
          <w:rFonts w:ascii="Tahoma" w:hAnsi="Tahoma" w:cs="Tahoma"/>
          <w:b/>
          <w:sz w:val="20"/>
          <w:szCs w:val="20"/>
          <w:u w:val="single"/>
        </w:rPr>
        <w:t>Член 9:</w:t>
      </w:r>
      <w:r w:rsidRPr="008F3ADE">
        <w:rPr>
          <w:rFonts w:ascii="Tahoma" w:hAnsi="Tahoma" w:cs="Tahoma"/>
          <w:sz w:val="20"/>
          <w:szCs w:val="20"/>
        </w:rPr>
        <w:t xml:space="preserve"> Пазачите, по тяхно искане или инициатива на Комисията, могат да бъдат освободени от задължения по членове 5 и 6 поради причини от висш обществен интерес (напр. морал, здраве, сигурност) съгласно процедурата за консултиране по член 32 (4).</w:t>
      </w:r>
    </w:p>
    <w:p w:rsidR="00D11C60" w:rsidRPr="008F3ADE" w:rsidRDefault="00D11C60" w:rsidP="00D11C60">
      <w:pPr>
        <w:spacing w:after="120"/>
        <w:jc w:val="both"/>
        <w:rPr>
          <w:rFonts w:ascii="Tahoma" w:hAnsi="Tahoma" w:cs="Tahoma"/>
          <w:sz w:val="20"/>
          <w:szCs w:val="20"/>
        </w:rPr>
      </w:pPr>
      <w:r w:rsidRPr="008F3ADE">
        <w:rPr>
          <w:rFonts w:ascii="Tahoma" w:hAnsi="Tahoma" w:cs="Tahoma"/>
          <w:b/>
          <w:sz w:val="20"/>
          <w:szCs w:val="20"/>
          <w:u w:val="single"/>
        </w:rPr>
        <w:t>Член 10:</w:t>
      </w:r>
      <w:r w:rsidRPr="008F3ADE">
        <w:rPr>
          <w:rFonts w:ascii="Tahoma" w:hAnsi="Tahoma" w:cs="Tahoma"/>
          <w:sz w:val="20"/>
          <w:szCs w:val="20"/>
        </w:rPr>
        <w:t xml:space="preserve"> Комисията може да актуализира задълженията по членове 5 и 6, съгласно процедурата по разследване в член 17, ако установи необходимост от разглеждане на нови практики на пазара, които ограничават оспоримостта.</w:t>
      </w:r>
    </w:p>
    <w:p w:rsidR="00D11C60" w:rsidRPr="008F3ADE" w:rsidRDefault="00D11C60" w:rsidP="00D11C60">
      <w:pPr>
        <w:spacing w:after="120"/>
        <w:jc w:val="both"/>
        <w:rPr>
          <w:rFonts w:ascii="Tahoma" w:hAnsi="Tahoma" w:cs="Tahoma"/>
          <w:sz w:val="20"/>
          <w:szCs w:val="20"/>
        </w:rPr>
      </w:pPr>
      <w:r w:rsidRPr="008F3ADE">
        <w:rPr>
          <w:rFonts w:ascii="Tahoma" w:hAnsi="Tahoma" w:cs="Tahoma"/>
          <w:b/>
          <w:sz w:val="20"/>
          <w:szCs w:val="20"/>
          <w:u w:val="single"/>
        </w:rPr>
        <w:t>Член 11:</w:t>
      </w:r>
      <w:r w:rsidRPr="008F3ADE">
        <w:rPr>
          <w:rFonts w:ascii="Tahoma" w:hAnsi="Tahoma" w:cs="Tahoma"/>
          <w:sz w:val="20"/>
          <w:szCs w:val="20"/>
        </w:rPr>
        <w:t xml:space="preserve"> включва различни клаузи срещу заобикаляне на правилата.</w:t>
      </w:r>
    </w:p>
    <w:p w:rsidR="00D11C60" w:rsidRPr="008F3ADE" w:rsidRDefault="00D11C60" w:rsidP="00D11C60">
      <w:pPr>
        <w:spacing w:after="120"/>
        <w:jc w:val="both"/>
        <w:rPr>
          <w:rFonts w:ascii="Tahoma" w:hAnsi="Tahoma" w:cs="Tahoma"/>
          <w:sz w:val="20"/>
          <w:szCs w:val="20"/>
        </w:rPr>
      </w:pPr>
      <w:r w:rsidRPr="008F3ADE">
        <w:rPr>
          <w:rFonts w:ascii="Tahoma" w:hAnsi="Tahoma" w:cs="Tahoma"/>
          <w:b/>
          <w:sz w:val="20"/>
          <w:szCs w:val="20"/>
          <w:u w:val="single"/>
        </w:rPr>
        <w:t>Член 12:</w:t>
      </w:r>
      <w:r w:rsidRPr="008F3ADE">
        <w:rPr>
          <w:rFonts w:ascii="Tahoma" w:hAnsi="Tahoma" w:cs="Tahoma"/>
          <w:sz w:val="20"/>
          <w:szCs w:val="20"/>
        </w:rPr>
        <w:t xml:space="preserve"> Пазачите информират Комисията за планирана концентрация по смисъла на член 3 от Регламент 193/2004 (Сливания) за всички други услуги, предоставяни в цифровия сектор, независимо дали вече са подлежащи на уведомление съгласно този регламент или не (и включват съответната информация относно целевия годишен оборот за придобиване, активните бизнес потребители и обосновката за концентрацията).</w:t>
      </w:r>
    </w:p>
    <w:p w:rsidR="00D11C60" w:rsidRPr="008F3ADE" w:rsidRDefault="00D11C60" w:rsidP="00D11C60">
      <w:pPr>
        <w:spacing w:after="120"/>
        <w:jc w:val="both"/>
        <w:rPr>
          <w:rFonts w:ascii="Tahoma" w:hAnsi="Tahoma" w:cs="Tahoma"/>
          <w:sz w:val="20"/>
          <w:szCs w:val="20"/>
        </w:rPr>
      </w:pPr>
      <w:r w:rsidRPr="008F3ADE">
        <w:rPr>
          <w:rFonts w:ascii="Tahoma" w:hAnsi="Tahoma" w:cs="Tahoma"/>
          <w:b/>
          <w:sz w:val="20"/>
          <w:szCs w:val="20"/>
          <w:u w:val="single"/>
        </w:rPr>
        <w:lastRenderedPageBreak/>
        <w:t>Член 13:</w:t>
      </w:r>
      <w:r w:rsidRPr="008F3ADE">
        <w:rPr>
          <w:rFonts w:ascii="Tahoma" w:hAnsi="Tahoma" w:cs="Tahoma"/>
          <w:sz w:val="20"/>
          <w:szCs w:val="20"/>
        </w:rPr>
        <w:t xml:space="preserve"> Пазачите представят на Комисията независимо одитирано описание на всички техники, които използват, за да профилира потребителите в рамките на 6 месеца след определянето им за пазач на информационен вход. Актуализира се ежегодно.</w:t>
      </w:r>
    </w:p>
    <w:p w:rsidR="00D11C60" w:rsidRPr="008F3ADE" w:rsidRDefault="00D11C60" w:rsidP="00D11C60">
      <w:pPr>
        <w:shd w:val="clear" w:color="auto" w:fill="002060"/>
        <w:spacing w:after="120"/>
        <w:jc w:val="both"/>
        <w:rPr>
          <w:rFonts w:ascii="Tahoma" w:hAnsi="Tahoma" w:cs="Tahoma"/>
          <w:sz w:val="20"/>
          <w:szCs w:val="20"/>
        </w:rPr>
      </w:pPr>
      <w:r w:rsidRPr="008F3ADE">
        <w:rPr>
          <w:rFonts w:ascii="Tahoma" w:hAnsi="Tahoma" w:cs="Tahoma"/>
          <w:b/>
          <w:sz w:val="20"/>
          <w:szCs w:val="20"/>
        </w:rPr>
        <w:t>Проучване на пазара (глава IV):</w:t>
      </w:r>
    </w:p>
    <w:p w:rsidR="00D11C60" w:rsidRPr="008F3ADE" w:rsidRDefault="00D11C60" w:rsidP="00D11C60">
      <w:pPr>
        <w:spacing w:after="120"/>
        <w:jc w:val="both"/>
        <w:rPr>
          <w:rFonts w:ascii="Tahoma" w:hAnsi="Tahoma" w:cs="Tahoma"/>
          <w:sz w:val="20"/>
          <w:szCs w:val="20"/>
        </w:rPr>
      </w:pPr>
      <w:r w:rsidRPr="008F3ADE">
        <w:rPr>
          <w:rFonts w:ascii="Tahoma" w:hAnsi="Tahoma" w:cs="Tahoma"/>
          <w:b/>
          <w:sz w:val="20"/>
          <w:szCs w:val="20"/>
          <w:u w:val="single"/>
        </w:rPr>
        <w:t>Член 14:</w:t>
      </w:r>
      <w:r w:rsidRPr="008F3ADE">
        <w:rPr>
          <w:rFonts w:ascii="Tahoma" w:hAnsi="Tahoma" w:cs="Tahoma"/>
          <w:sz w:val="20"/>
          <w:szCs w:val="20"/>
        </w:rPr>
        <w:t xml:space="preserve"> когато Комисията възнамерява да приеме решения във връзка с определяне на пазачи, системно неспазване или нови услуги и практики, тя трябва да направи това първо чрез провеждане на проучване на пазара (съответно членове 15, 16, 17)</w:t>
      </w:r>
    </w:p>
    <w:p w:rsidR="00D11C60" w:rsidRPr="008F3ADE" w:rsidRDefault="00D11C60" w:rsidP="00D11C60">
      <w:pPr>
        <w:spacing w:after="120"/>
        <w:jc w:val="both"/>
        <w:rPr>
          <w:rFonts w:ascii="Tahoma" w:hAnsi="Tahoma" w:cs="Tahoma"/>
          <w:sz w:val="20"/>
          <w:szCs w:val="20"/>
        </w:rPr>
      </w:pPr>
      <w:r w:rsidRPr="008F3ADE">
        <w:rPr>
          <w:rFonts w:ascii="Tahoma" w:hAnsi="Tahoma" w:cs="Tahoma"/>
          <w:b/>
          <w:sz w:val="20"/>
          <w:szCs w:val="20"/>
        </w:rPr>
        <w:t>Правомощия за разследване, изпълнение и наблюдение (Глава V):</w:t>
      </w:r>
    </w:p>
    <w:p w:rsidR="00D11C60" w:rsidRPr="008F3ADE" w:rsidRDefault="00D11C60" w:rsidP="00D11C60">
      <w:pPr>
        <w:spacing w:after="120"/>
        <w:jc w:val="both"/>
        <w:rPr>
          <w:rFonts w:ascii="Tahoma" w:hAnsi="Tahoma" w:cs="Tahoma"/>
          <w:sz w:val="20"/>
          <w:szCs w:val="20"/>
        </w:rPr>
      </w:pPr>
      <w:r w:rsidRPr="008F3ADE">
        <w:rPr>
          <w:rFonts w:ascii="Tahoma" w:hAnsi="Tahoma" w:cs="Tahoma"/>
          <w:b/>
          <w:sz w:val="20"/>
          <w:szCs w:val="20"/>
          <w:u w:val="single"/>
        </w:rPr>
        <w:t>Член 18:</w:t>
      </w:r>
      <w:r w:rsidRPr="008F3ADE">
        <w:rPr>
          <w:rFonts w:ascii="Tahoma" w:hAnsi="Tahoma" w:cs="Tahoma"/>
          <w:sz w:val="20"/>
          <w:szCs w:val="20"/>
        </w:rPr>
        <w:t xml:space="preserve"> производство ще бъде открито преди насърчаване на спазването на чл. 7, мерки за неспазване на чл. 25 или глоби по чл. 26.</w:t>
      </w:r>
    </w:p>
    <w:p w:rsidR="00D11C60" w:rsidRPr="008F3ADE" w:rsidRDefault="00D11C60" w:rsidP="00D11C60">
      <w:pPr>
        <w:spacing w:after="120"/>
        <w:jc w:val="both"/>
        <w:rPr>
          <w:rFonts w:ascii="Tahoma" w:hAnsi="Tahoma" w:cs="Tahoma"/>
          <w:sz w:val="20"/>
          <w:szCs w:val="20"/>
        </w:rPr>
      </w:pPr>
      <w:r w:rsidRPr="008F3ADE">
        <w:rPr>
          <w:rFonts w:ascii="Tahoma" w:hAnsi="Tahoma" w:cs="Tahoma"/>
          <w:b/>
          <w:sz w:val="20"/>
          <w:szCs w:val="20"/>
          <w:u w:val="single"/>
        </w:rPr>
        <w:t>Член 19:</w:t>
      </w:r>
      <w:r w:rsidRPr="008F3ADE">
        <w:rPr>
          <w:rFonts w:ascii="Tahoma" w:hAnsi="Tahoma" w:cs="Tahoma"/>
          <w:sz w:val="20"/>
          <w:szCs w:val="20"/>
        </w:rPr>
        <w:t xml:space="preserve"> Комисията може да изиска информация от пазача на информационния вход с цел наблюдение или прилагане на настоящия регламент (напр. достъп до бази данни и алгоритми). По същия начин държавите-членки могат също да бъдат обект на искания за информация от Комисията (член 19, параграф 6).</w:t>
      </w:r>
    </w:p>
    <w:p w:rsidR="00D11C60" w:rsidRPr="008F3ADE" w:rsidRDefault="00D11C60" w:rsidP="00D11C60">
      <w:pPr>
        <w:spacing w:after="120"/>
        <w:jc w:val="both"/>
        <w:rPr>
          <w:rFonts w:ascii="Tahoma" w:hAnsi="Tahoma" w:cs="Tahoma"/>
          <w:sz w:val="20"/>
          <w:szCs w:val="20"/>
        </w:rPr>
      </w:pPr>
      <w:r w:rsidRPr="008F3ADE">
        <w:rPr>
          <w:rFonts w:ascii="Tahoma" w:hAnsi="Tahoma" w:cs="Tahoma"/>
          <w:b/>
          <w:sz w:val="20"/>
          <w:szCs w:val="20"/>
          <w:u w:val="single"/>
        </w:rPr>
        <w:t>Членове 20, 21:</w:t>
      </w:r>
      <w:r w:rsidRPr="008F3ADE">
        <w:rPr>
          <w:rFonts w:ascii="Tahoma" w:hAnsi="Tahoma" w:cs="Tahoma"/>
          <w:sz w:val="20"/>
          <w:szCs w:val="20"/>
        </w:rPr>
        <w:t xml:space="preserve"> Комисията може да прави интервюта с физически или юридически лица и проверки на място на помещения, включително достъп до ИТ системи и др., за да допълни текущо разследване на правоприлагането.</w:t>
      </w:r>
    </w:p>
    <w:p w:rsidR="00D11C60" w:rsidRPr="008F3ADE" w:rsidRDefault="00D11C60" w:rsidP="00D11C60">
      <w:pPr>
        <w:spacing w:after="120"/>
        <w:jc w:val="both"/>
        <w:rPr>
          <w:rFonts w:ascii="Tahoma" w:hAnsi="Tahoma" w:cs="Tahoma"/>
          <w:sz w:val="20"/>
          <w:szCs w:val="20"/>
        </w:rPr>
      </w:pPr>
      <w:r w:rsidRPr="008F3ADE">
        <w:rPr>
          <w:rFonts w:ascii="Tahoma" w:hAnsi="Tahoma" w:cs="Tahoma"/>
          <w:b/>
          <w:sz w:val="20"/>
          <w:szCs w:val="20"/>
          <w:u w:val="single"/>
        </w:rPr>
        <w:t>Член 22:</w:t>
      </w:r>
      <w:r w:rsidRPr="008F3ADE">
        <w:rPr>
          <w:rFonts w:ascii="Tahoma" w:hAnsi="Tahoma" w:cs="Tahoma"/>
          <w:sz w:val="20"/>
          <w:szCs w:val="20"/>
        </w:rPr>
        <w:t xml:space="preserve"> временни мерки могат да бъдат наложени на пазачите от Комисията в съответствие с консултативната процедура (член 32, параграф 4) въз основа на констатациите на нарушение на членове 5 или 6.</w:t>
      </w:r>
    </w:p>
    <w:p w:rsidR="00D11C60" w:rsidRPr="008F3ADE" w:rsidRDefault="00D11C60" w:rsidP="00D11C60">
      <w:pPr>
        <w:spacing w:after="120"/>
        <w:jc w:val="both"/>
        <w:rPr>
          <w:rFonts w:ascii="Tahoma" w:hAnsi="Tahoma" w:cs="Tahoma"/>
          <w:sz w:val="20"/>
          <w:szCs w:val="20"/>
        </w:rPr>
      </w:pPr>
      <w:r w:rsidRPr="008F3ADE">
        <w:rPr>
          <w:rFonts w:ascii="Tahoma" w:hAnsi="Tahoma" w:cs="Tahoma"/>
          <w:b/>
          <w:sz w:val="20"/>
          <w:szCs w:val="20"/>
          <w:u w:val="single"/>
        </w:rPr>
        <w:t>Член 23:</w:t>
      </w:r>
      <w:r w:rsidRPr="008F3ADE">
        <w:rPr>
          <w:rFonts w:ascii="Tahoma" w:hAnsi="Tahoma" w:cs="Tahoma"/>
          <w:sz w:val="20"/>
          <w:szCs w:val="20"/>
        </w:rPr>
        <w:t xml:space="preserve"> ангажиментите, поети от пазача по време на пазарни разследвания или производства за неспазване, могат да станат обвързващи и следователно да няма необходимост от предприемане на допълнителни действия.</w:t>
      </w:r>
    </w:p>
    <w:p w:rsidR="00D11C60" w:rsidRPr="008F3ADE" w:rsidRDefault="00D11C60" w:rsidP="00D11C60">
      <w:pPr>
        <w:spacing w:after="120"/>
        <w:jc w:val="both"/>
        <w:rPr>
          <w:rFonts w:ascii="Tahoma" w:hAnsi="Tahoma" w:cs="Tahoma"/>
          <w:sz w:val="20"/>
          <w:szCs w:val="20"/>
        </w:rPr>
      </w:pPr>
      <w:r w:rsidRPr="008F3ADE">
        <w:rPr>
          <w:rFonts w:ascii="Tahoma" w:hAnsi="Tahoma" w:cs="Tahoma"/>
          <w:b/>
          <w:sz w:val="20"/>
          <w:szCs w:val="20"/>
          <w:u w:val="single"/>
        </w:rPr>
        <w:t>Член 25:</w:t>
      </w:r>
      <w:r w:rsidRPr="008F3ADE">
        <w:rPr>
          <w:rFonts w:ascii="Tahoma" w:hAnsi="Tahoma" w:cs="Tahoma"/>
          <w:sz w:val="20"/>
          <w:szCs w:val="20"/>
        </w:rPr>
        <w:t xml:space="preserve"> препраща към различни членове, които могат да бъдат основа за решение по неспазване. Предварителните констатации се съобщават на пазача, преди Комисията да вземе решение (член 25, параграф 2). Изпращат се известия за прекратяване и отказ (член 25, параграф 3), изискващи от пазача да предостави описание на мерките, които е предприел (член 25, параграф 4). Ако Комисията счита, че условията й все още не са изпълнени, тя приключва процедурата с решение.</w:t>
      </w:r>
    </w:p>
    <w:p w:rsidR="00D11C60" w:rsidRPr="008F3ADE" w:rsidRDefault="00D11C60" w:rsidP="00D11C60">
      <w:pPr>
        <w:spacing w:after="120"/>
        <w:jc w:val="both"/>
        <w:rPr>
          <w:rFonts w:ascii="Tahoma" w:hAnsi="Tahoma" w:cs="Tahoma"/>
          <w:sz w:val="20"/>
          <w:szCs w:val="20"/>
        </w:rPr>
      </w:pPr>
      <w:r w:rsidRPr="008F3ADE">
        <w:rPr>
          <w:rFonts w:ascii="Tahoma" w:hAnsi="Tahoma" w:cs="Tahoma"/>
          <w:b/>
          <w:sz w:val="20"/>
          <w:szCs w:val="20"/>
          <w:u w:val="single"/>
        </w:rPr>
        <w:t>Член 26:</w:t>
      </w:r>
      <w:r w:rsidRPr="008F3ADE">
        <w:rPr>
          <w:rFonts w:ascii="Tahoma" w:hAnsi="Tahoma" w:cs="Tahoma"/>
          <w:sz w:val="20"/>
          <w:szCs w:val="20"/>
        </w:rPr>
        <w:t xml:space="preserve"> глоби до 10% от годишния оборот могат да бъдат наложени на пазачите за умишлено нарушение или небрежност при спазване на условията за съответствие. Глоби до 1% от оборота могат да бъдат наложени на предприятия и сдружения на предприятия, когато те не предоставят информация, необходима според настоящия регламент, включително правомощия за контрол, правоприлагане и наблюдение.</w:t>
      </w:r>
    </w:p>
    <w:p w:rsidR="00D11C60" w:rsidRPr="008F3ADE" w:rsidRDefault="00D11C60" w:rsidP="00D11C60">
      <w:pPr>
        <w:spacing w:after="120"/>
        <w:jc w:val="both"/>
        <w:rPr>
          <w:rFonts w:ascii="Tahoma" w:hAnsi="Tahoma" w:cs="Tahoma"/>
          <w:sz w:val="20"/>
          <w:szCs w:val="20"/>
        </w:rPr>
      </w:pPr>
      <w:r w:rsidRPr="008F3ADE">
        <w:rPr>
          <w:rFonts w:ascii="Tahoma" w:hAnsi="Tahoma" w:cs="Tahoma"/>
          <w:b/>
          <w:sz w:val="20"/>
          <w:szCs w:val="20"/>
          <w:u w:val="single"/>
        </w:rPr>
        <w:t>Член 27:</w:t>
      </w:r>
      <w:r w:rsidRPr="008F3ADE">
        <w:rPr>
          <w:rFonts w:ascii="Tahoma" w:hAnsi="Tahoma" w:cs="Tahoma"/>
          <w:sz w:val="20"/>
          <w:szCs w:val="20"/>
        </w:rPr>
        <w:t xml:space="preserve"> Комисията може да налага периодични наказателни плащания на предприятия, включително пазачи до 5% от средния дневен оборот във връзка с правомощията й за за контрол, правоприлагане и наблюдение .</w:t>
      </w:r>
    </w:p>
    <w:p w:rsidR="00D11C60" w:rsidRPr="008F3ADE" w:rsidRDefault="00D11C60" w:rsidP="00D11C60">
      <w:pPr>
        <w:spacing w:after="120"/>
        <w:jc w:val="both"/>
        <w:rPr>
          <w:rFonts w:ascii="Tahoma" w:hAnsi="Tahoma" w:cs="Tahoma"/>
          <w:sz w:val="20"/>
          <w:szCs w:val="20"/>
        </w:rPr>
      </w:pPr>
      <w:r w:rsidRPr="008F3ADE">
        <w:rPr>
          <w:rFonts w:ascii="Tahoma" w:hAnsi="Tahoma" w:cs="Tahoma"/>
          <w:b/>
          <w:sz w:val="20"/>
          <w:szCs w:val="20"/>
          <w:u w:val="single"/>
        </w:rPr>
        <w:t>Членове 28 и 29:</w:t>
      </w:r>
      <w:r w:rsidRPr="008F3ADE">
        <w:rPr>
          <w:rFonts w:ascii="Tahoma" w:hAnsi="Tahoma" w:cs="Tahoma"/>
          <w:sz w:val="20"/>
          <w:szCs w:val="20"/>
        </w:rPr>
        <w:t xml:space="preserve"> определят се давностни срокове от 3 до 5 години, съответно за налагане на санкции и прилагане на решения за изпълнение.</w:t>
      </w:r>
    </w:p>
    <w:p w:rsidR="00D11C60" w:rsidRPr="008F3ADE" w:rsidRDefault="00D11C60" w:rsidP="00D11C60">
      <w:pPr>
        <w:spacing w:after="120"/>
        <w:jc w:val="both"/>
        <w:rPr>
          <w:rFonts w:ascii="Tahoma" w:hAnsi="Tahoma" w:cs="Tahoma"/>
          <w:sz w:val="20"/>
          <w:szCs w:val="20"/>
        </w:rPr>
      </w:pPr>
      <w:r w:rsidRPr="008F3ADE">
        <w:rPr>
          <w:rFonts w:ascii="Tahoma" w:hAnsi="Tahoma" w:cs="Tahoma"/>
          <w:b/>
          <w:sz w:val="20"/>
          <w:szCs w:val="20"/>
          <w:u w:val="single"/>
        </w:rPr>
        <w:t>Член 30:</w:t>
      </w:r>
      <w:r w:rsidRPr="008F3ADE">
        <w:rPr>
          <w:rFonts w:ascii="Tahoma" w:hAnsi="Tahoma" w:cs="Tahoma"/>
          <w:sz w:val="20"/>
          <w:szCs w:val="20"/>
        </w:rPr>
        <w:t xml:space="preserve"> пазачите имат право да бъдат изслушани по всички предварителни констатации или мерки, които Комисията възнамерява да предприеме. Те трябва да представят забележки в рамките на 14 дни от действията на Комисията. Достъп до данни на Комисията по въпроса се предоставя при условията на договаряне за оповестяване (член 30, параграф 4).</w:t>
      </w:r>
    </w:p>
    <w:p w:rsidR="00D11C60" w:rsidRPr="008F3ADE" w:rsidRDefault="00D11C60" w:rsidP="00D11C60">
      <w:pPr>
        <w:spacing w:after="120"/>
        <w:jc w:val="both"/>
        <w:rPr>
          <w:rFonts w:ascii="Tahoma" w:hAnsi="Tahoma" w:cs="Tahoma"/>
          <w:sz w:val="20"/>
          <w:szCs w:val="20"/>
        </w:rPr>
      </w:pPr>
      <w:r w:rsidRPr="008F3ADE">
        <w:rPr>
          <w:rFonts w:ascii="Tahoma" w:hAnsi="Tahoma" w:cs="Tahoma"/>
          <w:b/>
          <w:sz w:val="20"/>
          <w:szCs w:val="20"/>
          <w:u w:val="single"/>
        </w:rPr>
        <w:t>Член 32:</w:t>
      </w:r>
      <w:r w:rsidRPr="008F3ADE">
        <w:rPr>
          <w:rFonts w:ascii="Tahoma" w:hAnsi="Tahoma" w:cs="Tahoma"/>
          <w:sz w:val="20"/>
          <w:szCs w:val="20"/>
        </w:rPr>
        <w:t xml:space="preserve"> създава Консултативен комитет за цифровите пазари, който да представя общественото мнение за да подпомогне Комисията при вземането на решения за изпълнение.</w:t>
      </w:r>
    </w:p>
    <w:p w:rsidR="00D11C60" w:rsidRPr="008F3ADE" w:rsidRDefault="00D11C60" w:rsidP="00D11C60">
      <w:pPr>
        <w:spacing w:after="120"/>
        <w:jc w:val="both"/>
        <w:rPr>
          <w:rFonts w:ascii="Tahoma" w:hAnsi="Tahoma" w:cs="Tahoma"/>
          <w:sz w:val="20"/>
          <w:szCs w:val="20"/>
        </w:rPr>
      </w:pPr>
      <w:r w:rsidRPr="008F3ADE">
        <w:rPr>
          <w:rFonts w:ascii="Tahoma" w:hAnsi="Tahoma" w:cs="Tahoma"/>
          <w:b/>
          <w:sz w:val="20"/>
          <w:szCs w:val="20"/>
          <w:u w:val="single"/>
        </w:rPr>
        <w:t>Член 33:</w:t>
      </w:r>
      <w:r w:rsidRPr="008F3ADE">
        <w:rPr>
          <w:rFonts w:ascii="Tahoma" w:hAnsi="Tahoma" w:cs="Tahoma"/>
          <w:sz w:val="20"/>
          <w:szCs w:val="20"/>
        </w:rPr>
        <w:t xml:space="preserve"> необходими са три или повече държави-членки, за да принудят Комисията да разследва дали доставчикът на услуги може да бъде пазач.</w:t>
      </w:r>
    </w:p>
    <w:p w:rsidR="00D11C60" w:rsidRPr="008F3ADE" w:rsidRDefault="00D11C60" w:rsidP="00D11C60">
      <w:pPr>
        <w:spacing w:after="120"/>
        <w:jc w:val="both"/>
        <w:rPr>
          <w:rFonts w:ascii="Tahoma" w:hAnsi="Tahoma" w:cs="Tahoma"/>
          <w:sz w:val="20"/>
          <w:szCs w:val="20"/>
        </w:rPr>
      </w:pPr>
      <w:r w:rsidRPr="008F3ADE">
        <w:rPr>
          <w:rFonts w:ascii="Tahoma" w:hAnsi="Tahoma" w:cs="Tahoma"/>
          <w:b/>
          <w:sz w:val="20"/>
          <w:szCs w:val="20"/>
          <w:u w:val="single"/>
        </w:rPr>
        <w:t>Членове 34 и 35:</w:t>
      </w:r>
      <w:r w:rsidRPr="008F3ADE">
        <w:rPr>
          <w:rFonts w:ascii="Tahoma" w:hAnsi="Tahoma" w:cs="Tahoma"/>
          <w:sz w:val="20"/>
          <w:szCs w:val="20"/>
        </w:rPr>
        <w:t xml:space="preserve"> Комисията публикува всички решения, които подлежат на преглед от СЕС.</w:t>
      </w:r>
    </w:p>
    <w:p w:rsidR="00D11C60" w:rsidRPr="008F3ADE" w:rsidRDefault="00D11C60" w:rsidP="00D11C60">
      <w:pPr>
        <w:spacing w:after="120"/>
        <w:jc w:val="both"/>
        <w:rPr>
          <w:rFonts w:ascii="Tahoma" w:hAnsi="Tahoma" w:cs="Tahoma"/>
          <w:sz w:val="20"/>
          <w:szCs w:val="20"/>
        </w:rPr>
      </w:pPr>
      <w:r w:rsidRPr="008F3ADE">
        <w:rPr>
          <w:rFonts w:ascii="Tahoma" w:hAnsi="Tahoma" w:cs="Tahoma"/>
          <w:b/>
          <w:sz w:val="20"/>
          <w:szCs w:val="20"/>
          <w:u w:val="single"/>
        </w:rPr>
        <w:t>Член 38:</w:t>
      </w:r>
      <w:r w:rsidRPr="008F3ADE">
        <w:rPr>
          <w:rFonts w:ascii="Tahoma" w:hAnsi="Tahoma" w:cs="Tahoma"/>
          <w:sz w:val="20"/>
          <w:szCs w:val="20"/>
        </w:rPr>
        <w:t xml:space="preserve"> Комисията преразглежда настоящия регламент на всеки 3 години.</w:t>
      </w:r>
    </w:p>
    <w:p w:rsidR="00D11C60" w:rsidRPr="008F3ADE" w:rsidRDefault="00D11C60" w:rsidP="00D11C60">
      <w:pPr>
        <w:spacing w:after="120"/>
        <w:jc w:val="both"/>
        <w:rPr>
          <w:rFonts w:ascii="Tahoma" w:hAnsi="Tahoma" w:cs="Tahoma"/>
          <w:sz w:val="20"/>
          <w:szCs w:val="20"/>
        </w:rPr>
      </w:pPr>
      <w:r w:rsidRPr="008F3ADE">
        <w:rPr>
          <w:rFonts w:ascii="Tahoma" w:hAnsi="Tahoma" w:cs="Tahoma"/>
          <w:b/>
          <w:sz w:val="20"/>
          <w:szCs w:val="20"/>
          <w:u w:val="single"/>
        </w:rPr>
        <w:t>Член 39:</w:t>
      </w:r>
      <w:r w:rsidRPr="008F3ADE">
        <w:rPr>
          <w:rFonts w:ascii="Tahoma" w:hAnsi="Tahoma" w:cs="Tahoma"/>
          <w:sz w:val="20"/>
          <w:szCs w:val="20"/>
        </w:rPr>
        <w:t xml:space="preserve"> Регламентът се прилага 6 месеца след влизането му в сила.</w:t>
      </w:r>
    </w:p>
    <w:p w:rsidR="00FC20F1" w:rsidRDefault="00FC20F1"/>
    <w:sectPr w:rsidR="00FC20F1" w:rsidSect="00D11C60">
      <w:pgSz w:w="11906" w:h="16838"/>
      <w:pgMar w:top="993" w:right="1417" w:bottom="851"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813294"/>
    <w:multiLevelType w:val="hybridMultilevel"/>
    <w:tmpl w:val="A2DE878A"/>
    <w:lvl w:ilvl="0" w:tplc="845EA788">
      <w:numFmt w:val="bullet"/>
      <w:lvlText w:val="-"/>
      <w:lvlJc w:val="left"/>
      <w:pPr>
        <w:ind w:left="336" w:hanging="696"/>
      </w:pPr>
      <w:rPr>
        <w:rFonts w:ascii="Tahoma" w:eastAsia="Calibri" w:hAnsi="Tahoma" w:cs="Tahoma" w:hint="default"/>
      </w:rPr>
    </w:lvl>
    <w:lvl w:ilvl="1" w:tplc="04020003" w:tentative="1">
      <w:start w:val="1"/>
      <w:numFmt w:val="bullet"/>
      <w:lvlText w:val="o"/>
      <w:lvlJc w:val="left"/>
      <w:pPr>
        <w:ind w:left="720" w:hanging="360"/>
      </w:pPr>
      <w:rPr>
        <w:rFonts w:ascii="Courier New" w:hAnsi="Courier New" w:cs="Courier New" w:hint="default"/>
      </w:rPr>
    </w:lvl>
    <w:lvl w:ilvl="2" w:tplc="04020005" w:tentative="1">
      <w:start w:val="1"/>
      <w:numFmt w:val="bullet"/>
      <w:lvlText w:val=""/>
      <w:lvlJc w:val="left"/>
      <w:pPr>
        <w:ind w:left="1440" w:hanging="360"/>
      </w:pPr>
      <w:rPr>
        <w:rFonts w:ascii="Wingdings" w:hAnsi="Wingdings" w:hint="default"/>
      </w:rPr>
    </w:lvl>
    <w:lvl w:ilvl="3" w:tplc="04020001" w:tentative="1">
      <w:start w:val="1"/>
      <w:numFmt w:val="bullet"/>
      <w:lvlText w:val=""/>
      <w:lvlJc w:val="left"/>
      <w:pPr>
        <w:ind w:left="2160" w:hanging="360"/>
      </w:pPr>
      <w:rPr>
        <w:rFonts w:ascii="Symbol" w:hAnsi="Symbol" w:hint="default"/>
      </w:rPr>
    </w:lvl>
    <w:lvl w:ilvl="4" w:tplc="04020003" w:tentative="1">
      <w:start w:val="1"/>
      <w:numFmt w:val="bullet"/>
      <w:lvlText w:val="o"/>
      <w:lvlJc w:val="left"/>
      <w:pPr>
        <w:ind w:left="2880" w:hanging="360"/>
      </w:pPr>
      <w:rPr>
        <w:rFonts w:ascii="Courier New" w:hAnsi="Courier New" w:cs="Courier New" w:hint="default"/>
      </w:rPr>
    </w:lvl>
    <w:lvl w:ilvl="5" w:tplc="04020005" w:tentative="1">
      <w:start w:val="1"/>
      <w:numFmt w:val="bullet"/>
      <w:lvlText w:val=""/>
      <w:lvlJc w:val="left"/>
      <w:pPr>
        <w:ind w:left="3600" w:hanging="360"/>
      </w:pPr>
      <w:rPr>
        <w:rFonts w:ascii="Wingdings" w:hAnsi="Wingdings" w:hint="default"/>
      </w:rPr>
    </w:lvl>
    <w:lvl w:ilvl="6" w:tplc="04020001" w:tentative="1">
      <w:start w:val="1"/>
      <w:numFmt w:val="bullet"/>
      <w:lvlText w:val=""/>
      <w:lvlJc w:val="left"/>
      <w:pPr>
        <w:ind w:left="4320" w:hanging="360"/>
      </w:pPr>
      <w:rPr>
        <w:rFonts w:ascii="Symbol" w:hAnsi="Symbol" w:hint="default"/>
      </w:rPr>
    </w:lvl>
    <w:lvl w:ilvl="7" w:tplc="04020003" w:tentative="1">
      <w:start w:val="1"/>
      <w:numFmt w:val="bullet"/>
      <w:lvlText w:val="o"/>
      <w:lvlJc w:val="left"/>
      <w:pPr>
        <w:ind w:left="5040" w:hanging="360"/>
      </w:pPr>
      <w:rPr>
        <w:rFonts w:ascii="Courier New" w:hAnsi="Courier New" w:cs="Courier New" w:hint="default"/>
      </w:rPr>
    </w:lvl>
    <w:lvl w:ilvl="8" w:tplc="04020005" w:tentative="1">
      <w:start w:val="1"/>
      <w:numFmt w:val="bullet"/>
      <w:lvlText w:val=""/>
      <w:lvlJc w:val="left"/>
      <w:pPr>
        <w:ind w:left="5760" w:hanging="360"/>
      </w:pPr>
      <w:rPr>
        <w:rFonts w:ascii="Wingdings" w:hAnsi="Wingdings" w:hint="default"/>
      </w:rPr>
    </w:lvl>
  </w:abstractNum>
  <w:abstractNum w:abstractNumId="1" w15:restartNumberingAfterBreak="0">
    <w:nsid w:val="34BA1365"/>
    <w:multiLevelType w:val="hybridMultilevel"/>
    <w:tmpl w:val="22D6D4A6"/>
    <w:lvl w:ilvl="0" w:tplc="845EA788">
      <w:numFmt w:val="bullet"/>
      <w:lvlText w:val="-"/>
      <w:lvlJc w:val="left"/>
      <w:pPr>
        <w:ind w:left="336" w:hanging="696"/>
      </w:pPr>
      <w:rPr>
        <w:rFonts w:ascii="Tahoma" w:eastAsia="Calibri" w:hAnsi="Tahoma" w:cs="Tahoma" w:hint="default"/>
      </w:rPr>
    </w:lvl>
    <w:lvl w:ilvl="1" w:tplc="04020003" w:tentative="1">
      <w:start w:val="1"/>
      <w:numFmt w:val="bullet"/>
      <w:lvlText w:val="o"/>
      <w:lvlJc w:val="left"/>
      <w:pPr>
        <w:ind w:left="720" w:hanging="360"/>
      </w:pPr>
      <w:rPr>
        <w:rFonts w:ascii="Courier New" w:hAnsi="Courier New" w:cs="Courier New" w:hint="default"/>
      </w:rPr>
    </w:lvl>
    <w:lvl w:ilvl="2" w:tplc="04020005" w:tentative="1">
      <w:start w:val="1"/>
      <w:numFmt w:val="bullet"/>
      <w:lvlText w:val=""/>
      <w:lvlJc w:val="left"/>
      <w:pPr>
        <w:ind w:left="1440" w:hanging="360"/>
      </w:pPr>
      <w:rPr>
        <w:rFonts w:ascii="Wingdings" w:hAnsi="Wingdings" w:hint="default"/>
      </w:rPr>
    </w:lvl>
    <w:lvl w:ilvl="3" w:tplc="04020001" w:tentative="1">
      <w:start w:val="1"/>
      <w:numFmt w:val="bullet"/>
      <w:lvlText w:val=""/>
      <w:lvlJc w:val="left"/>
      <w:pPr>
        <w:ind w:left="2160" w:hanging="360"/>
      </w:pPr>
      <w:rPr>
        <w:rFonts w:ascii="Symbol" w:hAnsi="Symbol" w:hint="default"/>
      </w:rPr>
    </w:lvl>
    <w:lvl w:ilvl="4" w:tplc="04020003" w:tentative="1">
      <w:start w:val="1"/>
      <w:numFmt w:val="bullet"/>
      <w:lvlText w:val="o"/>
      <w:lvlJc w:val="left"/>
      <w:pPr>
        <w:ind w:left="2880" w:hanging="360"/>
      </w:pPr>
      <w:rPr>
        <w:rFonts w:ascii="Courier New" w:hAnsi="Courier New" w:cs="Courier New" w:hint="default"/>
      </w:rPr>
    </w:lvl>
    <w:lvl w:ilvl="5" w:tplc="04020005" w:tentative="1">
      <w:start w:val="1"/>
      <w:numFmt w:val="bullet"/>
      <w:lvlText w:val=""/>
      <w:lvlJc w:val="left"/>
      <w:pPr>
        <w:ind w:left="3600" w:hanging="360"/>
      </w:pPr>
      <w:rPr>
        <w:rFonts w:ascii="Wingdings" w:hAnsi="Wingdings" w:hint="default"/>
      </w:rPr>
    </w:lvl>
    <w:lvl w:ilvl="6" w:tplc="04020001" w:tentative="1">
      <w:start w:val="1"/>
      <w:numFmt w:val="bullet"/>
      <w:lvlText w:val=""/>
      <w:lvlJc w:val="left"/>
      <w:pPr>
        <w:ind w:left="4320" w:hanging="360"/>
      </w:pPr>
      <w:rPr>
        <w:rFonts w:ascii="Symbol" w:hAnsi="Symbol" w:hint="default"/>
      </w:rPr>
    </w:lvl>
    <w:lvl w:ilvl="7" w:tplc="04020003" w:tentative="1">
      <w:start w:val="1"/>
      <w:numFmt w:val="bullet"/>
      <w:lvlText w:val="o"/>
      <w:lvlJc w:val="left"/>
      <w:pPr>
        <w:ind w:left="5040" w:hanging="360"/>
      </w:pPr>
      <w:rPr>
        <w:rFonts w:ascii="Courier New" w:hAnsi="Courier New" w:cs="Courier New" w:hint="default"/>
      </w:rPr>
    </w:lvl>
    <w:lvl w:ilvl="8" w:tplc="04020005" w:tentative="1">
      <w:start w:val="1"/>
      <w:numFmt w:val="bullet"/>
      <w:lvlText w:val=""/>
      <w:lvlJc w:val="left"/>
      <w:pPr>
        <w:ind w:left="576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1C60"/>
    <w:rsid w:val="000D0B65"/>
    <w:rsid w:val="00127F72"/>
    <w:rsid w:val="00D11C60"/>
    <w:rsid w:val="00FC20F1"/>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C3DB17"/>
  <w15:chartTrackingRefBased/>
  <w15:docId w15:val="{F51117E1-46BE-446B-AE18-E70D15F0BA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11C60"/>
    <w:pPr>
      <w:spacing w:after="0" w:line="240" w:lineRule="auto"/>
    </w:pPr>
    <w:rPr>
      <w:rFonts w:ascii="Times New Roman" w:hAnsi="Times New Roman" w:cs="Times New Roman"/>
      <w:sz w:val="24"/>
      <w:szCs w:val="24"/>
      <w:lang w:eastAsia="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11C60"/>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1630</Words>
  <Characters>9296</Characters>
  <Application>Microsoft Office Word</Application>
  <DocSecurity>0</DocSecurity>
  <Lines>77</Lines>
  <Paragraphs>21</Paragraphs>
  <ScaleCrop>false</ScaleCrop>
  <Company>Grizli777</Company>
  <LinksUpToDate>false</LinksUpToDate>
  <CharactersWithSpaces>10905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ASUS</cp:lastModifiedBy>
  <cp:revision>1</cp:revision>
  <dcterms:created xsi:type="dcterms:W3CDTF">2021-01-12T08:55:00Z</dcterms:created>
  <dcterms:modified xsi:type="dcterms:W3CDTF">2021-01-12T08:58:00Z</dcterms:modified>
</cp:coreProperties>
</file>